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41" w:rsidRDefault="002143D5">
      <w:pPr>
        <w:pStyle w:val="1"/>
        <w:contextualSpacing w:val="0"/>
      </w:pPr>
      <w:bookmarkStart w:id="0" w:name="_afgbm7bp7e0i" w:colFirst="0" w:colLast="0"/>
      <w:bookmarkStart w:id="1" w:name="_GoBack"/>
      <w:bookmarkEnd w:id="0"/>
      <w:bookmarkEnd w:id="1"/>
      <w:r>
        <w:t xml:space="preserve">Система классов </w:t>
      </w:r>
    </w:p>
    <w:p w:rsidR="009B2E41" w:rsidRDefault="002143D5">
      <w:pPr>
        <w:jc w:val="both"/>
      </w:pPr>
      <w:r>
        <w:t>Японцы на соревнованиях считают отставание в процентах от лидера и на основании этого присваивают участникам, уложившимся в норматив, классы. Показателем мастерства становится отставание от лидера, более объективное чем место на подиуме. У нас лидеры еще а</w:t>
      </w:r>
      <w:r>
        <w:t>ктивно растут, требуется некий эталон от которого будем считать отставание каждого участника. Для этого вводим два понятия:</w:t>
      </w:r>
    </w:p>
    <w:p w:rsidR="009B2E41" w:rsidRDefault="002143D5">
      <w:pPr>
        <w:ind w:firstLine="720"/>
        <w:jc w:val="both"/>
      </w:pPr>
      <w:r>
        <w:rPr>
          <w:b/>
          <w:sz w:val="24"/>
          <w:szCs w:val="24"/>
        </w:rPr>
        <w:t>Класс соревнований</w:t>
      </w:r>
      <w:r>
        <w:t xml:space="preserve"> – наивысший класс, представленный на соревнованиях тремя и более участниками.</w:t>
      </w:r>
    </w:p>
    <w:p w:rsidR="009B2E41" w:rsidRDefault="002143D5">
      <w:pPr>
        <w:ind w:firstLine="720"/>
        <w:jc w:val="both"/>
        <w:rPr>
          <w:i/>
          <w:color w:val="6AA84F"/>
        </w:rPr>
      </w:pPr>
      <w:r>
        <w:t>На основе времени участников класса</w:t>
      </w:r>
      <w:r>
        <w:t xml:space="preserve"> соревнований рассчитываем </w:t>
      </w:r>
      <w:r>
        <w:rPr>
          <w:b/>
          <w:sz w:val="24"/>
          <w:szCs w:val="24"/>
        </w:rPr>
        <w:t>эталонное время</w:t>
      </w:r>
      <w:r>
        <w:t xml:space="preserve"> трассы – теоретический результат, который на этой трассе показал бы участник класса А.</w:t>
      </w:r>
    </w:p>
    <w:p w:rsidR="009B2E41" w:rsidRDefault="002143D5">
      <w:pPr>
        <w:pStyle w:val="2"/>
        <w:contextualSpacing w:val="0"/>
        <w:jc w:val="both"/>
      </w:pPr>
      <w:bookmarkStart w:id="2" w:name="_3rvt5hsr5s7" w:colFirst="0" w:colLast="0"/>
      <w:bookmarkEnd w:id="2"/>
      <w:r>
        <w:br/>
        <w:t>Классы</w:t>
      </w:r>
    </w:p>
    <w:p w:rsidR="009B2E41" w:rsidRDefault="002143D5">
      <w:pPr>
        <w:spacing w:after="60"/>
        <w:jc w:val="both"/>
      </w:pPr>
      <w:r>
        <w:t>А : Мотоциклисты неоднократно показ</w:t>
      </w:r>
      <w:r>
        <w:t>ы</w:t>
      </w:r>
      <w:r>
        <w:t xml:space="preserve">вавшие время менее 105% от эталонного и по результатам сезона </w:t>
      </w:r>
      <w:r>
        <w:t>зачисленные в</w:t>
      </w:r>
      <w:r>
        <w:t xml:space="preserve"> </w:t>
      </w:r>
      <w:r>
        <w:t>класс</w:t>
      </w:r>
      <w:r>
        <w:t xml:space="preserve"> </w:t>
      </w:r>
      <w:r>
        <w:t>А организатором.</w:t>
      </w:r>
    </w:p>
    <w:p w:rsidR="009B2E41" w:rsidRDefault="002143D5">
      <w:pPr>
        <w:spacing w:after="60"/>
        <w:jc w:val="both"/>
      </w:pPr>
      <w:r>
        <w:t xml:space="preserve">B : </w:t>
      </w:r>
      <w:r>
        <w:t>М</w:t>
      </w:r>
      <w:r>
        <w:t>отоциклисты показавшие время менее 105% от эталонного.</w:t>
      </w:r>
    </w:p>
    <w:p w:rsidR="009B2E41" w:rsidRDefault="002143D5">
      <w:pPr>
        <w:spacing w:after="60"/>
        <w:jc w:val="both"/>
      </w:pPr>
      <w:r>
        <w:t>С1 : Мотоциклисты показавшие время менее 110% от эталонного.</w:t>
      </w:r>
    </w:p>
    <w:p w:rsidR="009B2E41" w:rsidRDefault="002143D5">
      <w:pPr>
        <w:spacing w:after="60"/>
        <w:jc w:val="both"/>
      </w:pPr>
      <w:r>
        <w:t>С2 : Мотоциклисты показавшие время менее 115% от эталонного.</w:t>
      </w:r>
    </w:p>
    <w:p w:rsidR="009B2E41" w:rsidRDefault="002143D5">
      <w:pPr>
        <w:spacing w:after="60"/>
        <w:jc w:val="both"/>
      </w:pPr>
      <w:r>
        <w:t>С3 : Мотоциклисты показавшие время менее 120% от эталонно</w:t>
      </w:r>
      <w:r>
        <w:t>го.</w:t>
      </w:r>
    </w:p>
    <w:p w:rsidR="009B2E41" w:rsidRDefault="002143D5">
      <w:pPr>
        <w:spacing w:after="60"/>
        <w:jc w:val="both"/>
      </w:pPr>
      <w:r>
        <w:t>D1 : Мотоциклисты показавшие время менее 130% от эталонного.</w:t>
      </w:r>
    </w:p>
    <w:p w:rsidR="009B2E41" w:rsidRDefault="002143D5">
      <w:pPr>
        <w:spacing w:after="60"/>
        <w:jc w:val="both"/>
      </w:pPr>
      <w:r>
        <w:t>D2 : Мотоциклисты показавшие время менее 140% от эталонного.</w:t>
      </w:r>
    </w:p>
    <w:p w:rsidR="009B2E41" w:rsidRDefault="002143D5">
      <w:pPr>
        <w:spacing w:after="60"/>
        <w:jc w:val="both"/>
      </w:pPr>
      <w:r>
        <w:t>D3 : Мотоциклисты показавшие время менее 150% от эталонного.</w:t>
      </w:r>
    </w:p>
    <w:p w:rsidR="009B2E41" w:rsidRDefault="002143D5">
      <w:pPr>
        <w:spacing w:after="60"/>
        <w:jc w:val="both"/>
      </w:pPr>
      <w:r>
        <w:t>D4 : Мотоциклисты показавшие время менее 160% от эталонного.</w:t>
      </w:r>
    </w:p>
    <w:p w:rsidR="009B2E41" w:rsidRDefault="002143D5">
      <w:pPr>
        <w:spacing w:after="60"/>
        <w:jc w:val="both"/>
      </w:pPr>
      <w:r>
        <w:t>N : Мото</w:t>
      </w:r>
      <w:r>
        <w:t xml:space="preserve">циклисты показавшие время более 160% от эталонного </w:t>
      </w:r>
      <w:r>
        <w:t>или у</w:t>
      </w:r>
      <w:r>
        <w:t>частвующие впервые.</w:t>
      </w:r>
    </w:p>
    <w:p w:rsidR="009B2E41" w:rsidRDefault="002143D5">
      <w:pPr>
        <w:pStyle w:val="2"/>
        <w:contextualSpacing w:val="0"/>
        <w:jc w:val="both"/>
      </w:pPr>
      <w:bookmarkStart w:id="3" w:name="_pp7c69yif2qd" w:colFirst="0" w:colLast="0"/>
      <w:bookmarkEnd w:id="3"/>
      <w:r>
        <w:br/>
        <w:t>Переход между классами</w:t>
      </w:r>
    </w:p>
    <w:p w:rsidR="009B2E41" w:rsidRDefault="002143D5">
      <w:pPr>
        <w:numPr>
          <w:ilvl w:val="0"/>
          <w:numId w:val="4"/>
        </w:numPr>
        <w:ind w:hanging="360"/>
        <w:jc w:val="both"/>
      </w:pPr>
      <w:r>
        <w:t>Участник перешедший в классы B..D4 выступает в новом классе со следующего мероприятия.</w:t>
      </w:r>
    </w:p>
    <w:p w:rsidR="009B2E41" w:rsidRDefault="002143D5">
      <w:pPr>
        <w:numPr>
          <w:ilvl w:val="0"/>
          <w:numId w:val="4"/>
        </w:numPr>
        <w:ind w:hanging="360"/>
        <w:jc w:val="both"/>
      </w:pPr>
      <w:r>
        <w:t xml:space="preserve">Участник </w:t>
      </w:r>
      <w:r>
        <w:t>зачисленный</w:t>
      </w:r>
      <w:r>
        <w:t xml:space="preserve"> в класс А выступает в классе с первого мероприят</w:t>
      </w:r>
      <w:r>
        <w:t>ия следующего сезона поскольку класс А фор</w:t>
      </w:r>
      <w:r>
        <w:t>мируется</w:t>
      </w:r>
      <w:r>
        <w:t xml:space="preserve"> раз в год.</w:t>
      </w:r>
    </w:p>
    <w:p w:rsidR="009B2E41" w:rsidRDefault="002143D5">
      <w:pPr>
        <w:numPr>
          <w:ilvl w:val="0"/>
          <w:numId w:val="4"/>
        </w:numPr>
        <w:ind w:hanging="360"/>
        <w:jc w:val="both"/>
      </w:pPr>
      <w:r>
        <w:t xml:space="preserve">Участник может перейти в класс выше показав соответствующий результат на одной из </w:t>
      </w:r>
      <w:r>
        <w:t>зачётных</w:t>
      </w:r>
      <w:r>
        <w:t xml:space="preserve"> трасс (8GP, Shiso GP, Pita GP).</w:t>
      </w:r>
    </w:p>
    <w:p w:rsidR="009B2E41" w:rsidRDefault="002143D5">
      <w:pPr>
        <w:numPr>
          <w:ilvl w:val="0"/>
          <w:numId w:val="4"/>
        </w:numPr>
        <w:ind w:hanging="360"/>
        <w:jc w:val="both"/>
      </w:pPr>
      <w:r>
        <w:t>По результатам соревнований можно перейти в класс не выше чем класс сор</w:t>
      </w:r>
      <w:r>
        <w:t>евнований.</w:t>
      </w:r>
    </w:p>
    <w:p w:rsidR="009B2E41" w:rsidRDefault="002143D5">
      <w:pPr>
        <w:pStyle w:val="2"/>
        <w:contextualSpacing w:val="0"/>
        <w:jc w:val="both"/>
      </w:pPr>
      <w:bookmarkStart w:id="4" w:name="_3b6q83ru52vg" w:colFirst="0" w:colLast="0"/>
      <w:bookmarkEnd w:id="4"/>
      <w:r>
        <w:lastRenderedPageBreak/>
        <w:br/>
        <w:t>Переход по зачетным трассам</w:t>
      </w:r>
    </w:p>
    <w:p w:rsidR="009B2E41" w:rsidRDefault="002143D5">
      <w:pPr>
        <w:spacing w:line="360" w:lineRule="auto"/>
        <w:jc w:val="both"/>
      </w:pPr>
      <w:r>
        <w:t>Для определения класса участника рассчитывают процент отставания от мирового рекорда трассы. Участник переходит в класс, показав результат менее указанного в таблице хотя бы на одной из трасс.</w:t>
      </w:r>
      <w:r>
        <w:rPr>
          <w:i/>
          <w:color w:val="FF00FF"/>
        </w:rPr>
        <w:br/>
      </w:r>
      <w:r>
        <w:br/>
        <w:t>Известные на февраль 2</w:t>
      </w:r>
      <w:r>
        <w:t>017 года рекорды зачетных трасс:</w:t>
      </w:r>
      <w:r>
        <w:br/>
      </w:r>
      <w:r>
        <w:rPr>
          <w:noProof/>
        </w:rPr>
        <w:drawing>
          <wp:inline distT="114300" distB="114300" distL="114300" distR="114300">
            <wp:extent cx="5917406" cy="1057275"/>
            <wp:effectExtent l="0" t="0" r="0" b="0"/>
            <wp:docPr id="3" name="image7.jp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Untitled-1.jpg"/>
                    <pic:cNvPicPr preferRelativeResize="0"/>
                  </pic:nvPicPr>
                  <pic:blipFill>
                    <a:blip r:embed="rId7"/>
                    <a:srcRect t="1966" b="1966"/>
                    <a:stretch>
                      <a:fillRect/>
                    </a:stretch>
                  </pic:blipFill>
                  <pic:spPr>
                    <a:xfrm>
                      <a:off x="0" y="0"/>
                      <a:ext cx="5917406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2E41" w:rsidRDefault="009B2E41">
      <w:pPr>
        <w:pStyle w:val="2"/>
        <w:contextualSpacing w:val="0"/>
      </w:pPr>
      <w:bookmarkStart w:id="5" w:name="_cuh992jkp5me" w:colFirst="0" w:colLast="0"/>
      <w:bookmarkEnd w:id="5"/>
    </w:p>
    <w:p w:rsidR="009B2E41" w:rsidRDefault="002143D5">
      <w:pPr>
        <w:pStyle w:val="2"/>
        <w:contextualSpacing w:val="0"/>
      </w:pPr>
      <w:bookmarkStart w:id="6" w:name="_slm71w8n9zh9" w:colFirst="0" w:colLast="0"/>
      <w:bookmarkEnd w:id="6"/>
      <w:r>
        <w:t>Переход по результатам соревнований</w:t>
      </w:r>
    </w:p>
    <w:p w:rsidR="009B2E41" w:rsidRDefault="002143D5">
      <w:pPr>
        <w:spacing w:line="360" w:lineRule="auto"/>
        <w:jc w:val="both"/>
      </w:pPr>
      <w:r>
        <w:t>По результатам соревнований рассчитывается эталонное время данной трассы. Отставание участника от эталонного времени становится основанием для его зачисления в класс.</w:t>
      </w:r>
    </w:p>
    <w:p w:rsidR="009B2E41" w:rsidRDefault="002143D5">
      <w:pPr>
        <w:spacing w:line="360" w:lineRule="auto"/>
        <w:ind w:firstLine="720"/>
        <w:jc w:val="both"/>
      </w:pPr>
      <w:r>
        <w:t xml:space="preserve">На соревнованиях класса А или В эталонное время – это результат лучшего из участников классов А или В. Если класс соревнований ниже, то эталонное время рассчитывают: делят лучший из результатов участников класса соревнования на “коэффициент отставания” -- </w:t>
      </w:r>
      <w:r>
        <w:t>коэффициент достаточный для перехода в класс выше. Если соревнования класса С2, то для перехода в С1 нужен результат менее 110%: коэффициент отставания класса С2 – 1.10. Коэффициенты отставаний для каждого класса соревнований постоянны и приведены  в табли</w:t>
      </w:r>
      <w:r>
        <w:t>це:</w:t>
      </w:r>
    </w:p>
    <w:p w:rsidR="009B2E41" w:rsidRDefault="009B2E41">
      <w:pPr>
        <w:ind w:firstLine="720"/>
        <w:jc w:val="both"/>
        <w:rPr>
          <w:sz w:val="24"/>
          <w:szCs w:val="24"/>
        </w:rPr>
      </w:pPr>
    </w:p>
    <w:p w:rsidR="009B2E41" w:rsidRDefault="002143D5">
      <w:pPr>
        <w:jc w:val="both"/>
      </w:pPr>
      <w:r>
        <w:rPr>
          <w:noProof/>
        </w:rPr>
        <w:drawing>
          <wp:inline distT="114300" distB="114300" distL="114300" distR="114300">
            <wp:extent cx="5191125" cy="9525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9B2E41" w:rsidRDefault="002143D5">
      <w:pPr>
        <w:pStyle w:val="2"/>
        <w:contextualSpacing w:val="0"/>
        <w:jc w:val="both"/>
      </w:pPr>
      <w:bookmarkStart w:id="7" w:name="_r48npdyfn1z5" w:colFirst="0" w:colLast="0"/>
      <w:bookmarkEnd w:id="7"/>
      <w:r>
        <w:lastRenderedPageBreak/>
        <w:t>Приложение 1. Расчет классов на соревнованиях</w:t>
      </w:r>
    </w:p>
    <w:p w:rsidR="009B2E41" w:rsidRDefault="002143D5">
      <w:pPr>
        <w:jc w:val="both"/>
      </w:pPr>
      <w:r>
        <w:t xml:space="preserve">Если класс соревнования ниже чем B, </w:t>
      </w:r>
      <w:r>
        <w:t>эталонное время рассчитывают делением лучшего результата участника класса соревнования на коэффициент отставания достаточный для перехода в класс на один выше класса соревнований.</w:t>
      </w:r>
    </w:p>
    <w:p w:rsidR="009B2E41" w:rsidRDefault="002143D5">
      <w:pPr>
        <w:ind w:firstLine="720"/>
        <w:jc w:val="both"/>
      </w:pPr>
      <w:r>
        <w:t>Провели соревнования, на которых присутствовал один участник класса С1, трое</w:t>
      </w:r>
      <w:r>
        <w:t xml:space="preserve"> -- С2, остальные классом ниже. Лучшее время из участников класса соревнований показал Петя, 00:23.00 класс С2. Коэффициент отставания класса С2  из таблицы – 1.1. Эталонное время трассы: 23/1.1 = 20.91 секунд.</w:t>
      </w:r>
      <w:r>
        <w:br/>
      </w:r>
      <w:r>
        <w:rPr>
          <w:noProof/>
        </w:rPr>
        <w:drawing>
          <wp:inline distT="114300" distB="114300" distL="114300" distR="114300">
            <wp:extent cx="5731200" cy="4343400"/>
            <wp:effectExtent l="0" t="0" r="0" b="0"/>
            <wp:docPr id="2" name="image6.jp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Untitled-1.jpg"/>
                    <pic:cNvPicPr preferRelativeResize="0"/>
                  </pic:nvPicPr>
                  <pic:blipFill>
                    <a:blip r:embed="rId9"/>
                    <a:srcRect l="149" r="14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4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2E41" w:rsidRDefault="002143D5">
      <w:pPr>
        <w:jc w:val="both"/>
      </w:pPr>
      <w:r>
        <w:t>На что обратить внимание при расчетах:</w:t>
      </w:r>
    </w:p>
    <w:p w:rsidR="009B2E41" w:rsidRDefault="002143D5">
      <w:pPr>
        <w:numPr>
          <w:ilvl w:val="0"/>
          <w:numId w:val="1"/>
        </w:numPr>
        <w:ind w:hanging="360"/>
        <w:contextualSpacing/>
        <w:jc w:val="both"/>
      </w:pPr>
      <w:r>
        <w:t>Вася</w:t>
      </w:r>
      <w:r>
        <w:t xml:space="preserve"> как участник класса С1, хотя и показал результат класса В, в него не переходит. Переход возможен не выше чем в класс соревнований.</w:t>
      </w:r>
      <w:r>
        <w:tab/>
      </w:r>
    </w:p>
    <w:p w:rsidR="009B2E41" w:rsidRDefault="002143D5">
      <w:pPr>
        <w:numPr>
          <w:ilvl w:val="0"/>
          <w:numId w:val="3"/>
        </w:numPr>
        <w:ind w:hanging="360"/>
        <w:contextualSpacing/>
        <w:jc w:val="both"/>
      </w:pPr>
      <w:r>
        <w:t>Даша перескочила класс С3 и перешла сразу в С2.</w:t>
      </w:r>
    </w:p>
    <w:p w:rsidR="009B2E41" w:rsidRDefault="002143D5">
      <w:pPr>
        <w:numPr>
          <w:ilvl w:val="0"/>
          <w:numId w:val="1"/>
        </w:numPr>
        <w:ind w:hanging="360"/>
        <w:contextualSpacing/>
        <w:jc w:val="both"/>
      </w:pPr>
      <w:r>
        <w:t>Из-за ошибок округления “процент отставания” Участника по которому рассчиты</w:t>
      </w:r>
      <w:r>
        <w:t>вали эталонное время может посчитаться как, например, 109.99%. Предлагаем, в таких случаях, записывать ему процент отставания почти достаточный для перехода в класс выше. В данном случае 110%.</w:t>
      </w:r>
    </w:p>
    <w:p w:rsidR="009B2E41" w:rsidRDefault="009B2E41">
      <w:pPr>
        <w:jc w:val="both"/>
      </w:pPr>
    </w:p>
    <w:p w:rsidR="009B2E41" w:rsidRDefault="002143D5">
      <w:pPr>
        <w:jc w:val="both"/>
      </w:pPr>
      <w:r>
        <w:br w:type="page"/>
      </w:r>
    </w:p>
    <w:p w:rsidR="009B2E41" w:rsidRDefault="002143D5">
      <w:pPr>
        <w:pStyle w:val="2"/>
        <w:contextualSpacing w:val="0"/>
      </w:pPr>
      <w:bookmarkStart w:id="8" w:name="_9wfmlh1p064b" w:colFirst="0" w:colLast="0"/>
      <w:bookmarkEnd w:id="8"/>
      <w:r>
        <w:lastRenderedPageBreak/>
        <w:t>Приложение 2. Схемы зачетных трасс</w:t>
      </w:r>
    </w:p>
    <w:p w:rsidR="009B2E41" w:rsidRDefault="002143D5">
      <w:pPr>
        <w:jc w:val="both"/>
      </w:pPr>
      <w:r>
        <w:rPr>
          <w:noProof/>
        </w:rPr>
        <w:drawing>
          <wp:inline distT="114300" distB="114300" distL="114300" distR="114300">
            <wp:extent cx="5731200" cy="7975600"/>
            <wp:effectExtent l="0" t="0" r="0" b="0"/>
            <wp:docPr id="5" name="image10.png" descr="schemes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schemes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7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2E41" w:rsidRDefault="002143D5">
      <w:pPr>
        <w:pStyle w:val="2"/>
        <w:contextualSpacing w:val="0"/>
        <w:jc w:val="both"/>
      </w:pPr>
      <w:bookmarkStart w:id="9" w:name="_ofyg6nl6x0pd" w:colFirst="0" w:colLast="0"/>
      <w:bookmarkEnd w:id="9"/>
      <w:r>
        <w:lastRenderedPageBreak/>
        <w:t xml:space="preserve">Приложение 3. Цветовое </w:t>
      </w:r>
      <w:r>
        <w:t>обозначение классов</w:t>
      </w:r>
    </w:p>
    <w:p w:rsidR="009B2E41" w:rsidRDefault="002143D5">
      <w:pPr>
        <w:numPr>
          <w:ilvl w:val="0"/>
          <w:numId w:val="2"/>
        </w:numPr>
        <w:ind w:hanging="360"/>
        <w:contextualSpacing/>
        <w:jc w:val="both"/>
      </w:pPr>
      <w:r>
        <w:t>Код цвета RGB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А (красный) - 255; 0; 73 [ff0049]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В (синий) - 25; 129; 242 [1981f2]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С (зелёный) - 91; 186; 42 [5bba2a]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D (жёлтый) - 252; 204; 0 [fccc00]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N (чёрно-белый)</w:t>
      </w:r>
    </w:p>
    <w:p w:rsidR="009B2E41" w:rsidRDefault="002143D5">
      <w:pPr>
        <w:numPr>
          <w:ilvl w:val="0"/>
          <w:numId w:val="2"/>
        </w:numPr>
        <w:ind w:hanging="360"/>
        <w:contextualSpacing/>
        <w:jc w:val="both"/>
      </w:pPr>
      <w:r>
        <w:t>Код цвета CMYK (рекомендуется использовать только для печати, т.к. он обеспечивает более точную цветопередачу)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А (красный) - 0; 94; 61; 0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В (синий) - 88; 47; 0; 0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С (зелёный) - 83; 1; 100; 0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D (жёлтый) - 1; 22; 99; 0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N (чёрно-</w:t>
      </w:r>
      <w:r>
        <w:t>белый)</w:t>
      </w:r>
    </w:p>
    <w:p w:rsidR="009B2E41" w:rsidRDefault="002143D5">
      <w:pPr>
        <w:numPr>
          <w:ilvl w:val="0"/>
          <w:numId w:val="2"/>
        </w:numPr>
        <w:ind w:hanging="360"/>
        <w:contextualSpacing/>
        <w:jc w:val="both"/>
      </w:pPr>
      <w:r>
        <w:t>Данное цветовое обозначение может применяться: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В публикуемых таблицах, где применяется данная система классов.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Для обозначения класса участника на соревнованиях (выдаваемые участникам жилетки, повязки, наклейки и пр.)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В иных случаях, где нужно отраз</w:t>
      </w:r>
      <w:r>
        <w:t>ить класс участника.</w:t>
      </w:r>
    </w:p>
    <w:p w:rsidR="009B2E41" w:rsidRDefault="002143D5">
      <w:pPr>
        <w:numPr>
          <w:ilvl w:val="0"/>
          <w:numId w:val="2"/>
        </w:numPr>
        <w:ind w:hanging="360"/>
        <w:contextualSpacing/>
        <w:jc w:val="both"/>
      </w:pPr>
      <w:r>
        <w:t xml:space="preserve">Оригинал изображения вы можете скачать по </w:t>
      </w:r>
      <w:hyperlink r:id="rId11">
        <w:r>
          <w:rPr>
            <w:color w:val="1155CC"/>
            <w:u w:val="single"/>
          </w:rPr>
          <w:t>ссылке</w:t>
        </w:r>
      </w:hyperlink>
    </w:p>
    <w:p w:rsidR="009B2E41" w:rsidRDefault="002143D5">
      <w:pPr>
        <w:jc w:val="both"/>
      </w:pPr>
      <w:r>
        <w:rPr>
          <w:noProof/>
        </w:rPr>
        <w:drawing>
          <wp:inline distT="114300" distB="114300" distL="114300" distR="114300">
            <wp:extent cx="4814888" cy="4322993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4322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B2E41">
      <w:headerReference w:type="default" r:id="rId13"/>
      <w:footerReference w:type="defaul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D5" w:rsidRDefault="002143D5">
      <w:pPr>
        <w:spacing w:after="0" w:line="240" w:lineRule="auto"/>
      </w:pPr>
      <w:r>
        <w:separator/>
      </w:r>
    </w:p>
  </w:endnote>
  <w:endnote w:type="continuationSeparator" w:id="0">
    <w:p w:rsidR="002143D5" w:rsidRDefault="0021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41" w:rsidRDefault="002143D5">
    <w:pPr>
      <w:jc w:val="right"/>
    </w:pPr>
    <w:r>
      <w:fldChar w:fldCharType="begin"/>
    </w:r>
    <w:r>
      <w:instrText>PAGE</w:instrText>
    </w:r>
    <w:r w:rsidR="00FF6122">
      <w:fldChar w:fldCharType="separate"/>
    </w:r>
    <w:r w:rsidR="00FF61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D5" w:rsidRDefault="002143D5">
      <w:pPr>
        <w:spacing w:after="0" w:line="240" w:lineRule="auto"/>
      </w:pPr>
      <w:r>
        <w:separator/>
      </w:r>
    </w:p>
  </w:footnote>
  <w:footnote w:type="continuationSeparator" w:id="0">
    <w:p w:rsidR="002143D5" w:rsidRDefault="0021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41" w:rsidRDefault="009B2E41"/>
  <w:p w:rsidR="009B2E41" w:rsidRDefault="002143D5">
    <w:pPr>
      <w:jc w:val="right"/>
    </w:pPr>
    <w:r>
      <w:t>Ассоциация МотоДжимханы</w:t>
    </w:r>
  </w:p>
  <w:p w:rsidR="009B2E41" w:rsidRDefault="002143D5"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75D"/>
    <w:multiLevelType w:val="multilevel"/>
    <w:tmpl w:val="80C44B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B1C56B9"/>
    <w:multiLevelType w:val="multilevel"/>
    <w:tmpl w:val="9DE285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03D09F4"/>
    <w:multiLevelType w:val="multilevel"/>
    <w:tmpl w:val="0A78E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414751A"/>
    <w:multiLevelType w:val="multilevel"/>
    <w:tmpl w:val="7FBA9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41"/>
    <w:rsid w:val="002143D5"/>
    <w:rsid w:val="009B2E4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80E2F-8282-477F-8150-56D9D5B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300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  <w:contextualSpacing/>
      <w:jc w:val="center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.userapi.com/c637117/v637117530/44fb7/-phVStoDSPk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2017-07-17T07:12:00Z</dcterms:created>
  <dcterms:modified xsi:type="dcterms:W3CDTF">2017-07-17T07:12:00Z</dcterms:modified>
</cp:coreProperties>
</file>